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3A" w:rsidRPr="003158E0" w:rsidRDefault="0001143A" w:rsidP="0001143A">
      <w:pPr>
        <w:spacing w:line="257" w:lineRule="auto"/>
        <w:jc w:val="center"/>
        <w:rPr>
          <w:b/>
          <w:sz w:val="28"/>
          <w:szCs w:val="28"/>
          <w:u w:val="single"/>
        </w:rPr>
      </w:pPr>
      <w:bookmarkStart w:id="0" w:name="_GoBack"/>
      <w:r w:rsidRPr="003158E0">
        <w:rPr>
          <w:b/>
          <w:sz w:val="28"/>
          <w:szCs w:val="28"/>
          <w:u w:val="single"/>
        </w:rPr>
        <w:t xml:space="preserve">Перечень мер поддержки МСП при </w:t>
      </w:r>
      <w:proofErr w:type="spellStart"/>
      <w:r w:rsidRPr="003158E0">
        <w:rPr>
          <w:b/>
          <w:sz w:val="28"/>
          <w:szCs w:val="28"/>
          <w:u w:val="single"/>
        </w:rPr>
        <w:t>коронавирусе</w:t>
      </w:r>
      <w:bookmarkEnd w:id="0"/>
      <w:proofErr w:type="spellEnd"/>
    </w:p>
    <w:p w:rsidR="0001143A" w:rsidRDefault="0001143A" w:rsidP="0001143A">
      <w:pPr>
        <w:spacing w:line="257" w:lineRule="auto"/>
        <w:jc w:val="center"/>
        <w:rPr>
          <w:b/>
          <w:sz w:val="28"/>
          <w:szCs w:val="28"/>
          <w:u w:val="single"/>
        </w:rPr>
      </w:pPr>
    </w:p>
    <w:p w:rsidR="0001143A" w:rsidRDefault="0001143A" w:rsidP="0001143A">
      <w:pPr>
        <w:spacing w:line="257" w:lineRule="auto"/>
      </w:pPr>
    </w:p>
    <w:tbl>
      <w:tblPr>
        <w:tblW w:w="1033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45"/>
        <w:gridCol w:w="4336"/>
        <w:gridCol w:w="1588"/>
        <w:gridCol w:w="2368"/>
      </w:tblGrid>
      <w:tr w:rsidR="0001143A" w:rsidTr="00DD20D0">
        <w:tc>
          <w:tcPr>
            <w:tcW w:w="2045" w:type="dxa"/>
          </w:tcPr>
          <w:p w:rsidR="0001143A" w:rsidRDefault="0001143A" w:rsidP="00DD20D0">
            <w:pPr>
              <w:rPr>
                <w:b/>
              </w:rPr>
            </w:pPr>
            <w:r>
              <w:rPr>
                <w:b/>
              </w:rPr>
              <w:t>Меры поддержки</w:t>
            </w:r>
          </w:p>
          <w:p w:rsidR="0001143A" w:rsidRDefault="0001143A" w:rsidP="00DD20D0">
            <w:pPr>
              <w:spacing w:line="257" w:lineRule="auto"/>
              <w:jc w:val="center"/>
              <w:rPr>
                <w:b/>
              </w:rPr>
            </w:pPr>
          </w:p>
        </w:tc>
        <w:tc>
          <w:tcPr>
            <w:tcW w:w="4336" w:type="dxa"/>
          </w:tcPr>
          <w:p w:rsidR="0001143A" w:rsidRDefault="0001143A" w:rsidP="00DD20D0">
            <w:pPr>
              <w:jc w:val="both"/>
              <w:rPr>
                <w:b/>
              </w:rPr>
            </w:pPr>
            <w:r>
              <w:rPr>
                <w:b/>
              </w:rPr>
              <w:t>Комментарий и условия применения</w:t>
            </w:r>
          </w:p>
          <w:p w:rsidR="0001143A" w:rsidRDefault="0001143A" w:rsidP="00DD20D0">
            <w:pPr>
              <w:spacing w:line="257" w:lineRule="auto"/>
              <w:jc w:val="both"/>
              <w:rPr>
                <w:b/>
              </w:rPr>
            </w:pPr>
          </w:p>
        </w:tc>
        <w:tc>
          <w:tcPr>
            <w:tcW w:w="1588" w:type="dxa"/>
          </w:tcPr>
          <w:p w:rsidR="0001143A" w:rsidRDefault="0001143A" w:rsidP="00DD20D0">
            <w:pPr>
              <w:jc w:val="both"/>
              <w:rPr>
                <w:b/>
              </w:rPr>
            </w:pPr>
            <w:r>
              <w:rPr>
                <w:b/>
              </w:rPr>
              <w:t xml:space="preserve">Сроки действия меры </w:t>
            </w:r>
          </w:p>
        </w:tc>
        <w:tc>
          <w:tcPr>
            <w:tcW w:w="2368" w:type="dxa"/>
          </w:tcPr>
          <w:p w:rsidR="0001143A" w:rsidRDefault="0001143A" w:rsidP="00DD20D0">
            <w:pPr>
              <w:jc w:val="both"/>
              <w:rPr>
                <w:b/>
              </w:rPr>
            </w:pPr>
            <w:r>
              <w:rPr>
                <w:b/>
              </w:rPr>
              <w:t>На кого распространяется</w:t>
            </w:r>
          </w:p>
        </w:tc>
      </w:tr>
      <w:tr w:rsidR="0001143A" w:rsidTr="00DD20D0">
        <w:tc>
          <w:tcPr>
            <w:tcW w:w="2045" w:type="dxa"/>
            <w:vMerge w:val="restart"/>
          </w:tcPr>
          <w:p w:rsidR="0001143A" w:rsidRDefault="0001143A" w:rsidP="00DD20D0">
            <w:pPr>
              <w:rPr>
                <w:b/>
              </w:rPr>
            </w:pPr>
            <w:r>
              <w:rPr>
                <w:b/>
              </w:rPr>
              <w:t>Продление сроков уплаты налогов</w:t>
            </w:r>
          </w:p>
        </w:tc>
        <w:tc>
          <w:tcPr>
            <w:tcW w:w="4336" w:type="dxa"/>
          </w:tcPr>
          <w:p w:rsidR="0001143A" w:rsidRDefault="0001143A" w:rsidP="00DD20D0">
            <w:pPr>
              <w:tabs>
                <w:tab w:val="left" w:pos="2202"/>
              </w:tabs>
            </w:pPr>
            <w:r>
              <w:t>продление срока уплаты налога на прибыль, УСН, ЕСХН за 2019 год;</w:t>
            </w:r>
          </w:p>
          <w:p w:rsidR="0001143A" w:rsidRDefault="0001143A" w:rsidP="00DD20D0">
            <w:pPr>
              <w:tabs>
                <w:tab w:val="left" w:pos="2202"/>
              </w:tabs>
            </w:pPr>
            <w: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588" w:type="dxa"/>
          </w:tcPr>
          <w:p w:rsidR="0001143A" w:rsidRDefault="0001143A" w:rsidP="00DD20D0">
            <w:pPr>
              <w:jc w:val="both"/>
            </w:pPr>
            <w:r>
              <w:t>на 6 месяцев</w:t>
            </w:r>
          </w:p>
        </w:tc>
        <w:tc>
          <w:tcPr>
            <w:tcW w:w="2368" w:type="dxa"/>
            <w:vMerge w:val="restart"/>
          </w:tcPr>
          <w:p w:rsidR="0001143A" w:rsidRDefault="0001143A" w:rsidP="00DD20D0">
            <w:pPr>
              <w:jc w:val="both"/>
            </w:pPr>
            <w:r>
              <w:t xml:space="preserve">для организаций </w:t>
            </w:r>
            <w: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</w:tr>
      <w:tr w:rsidR="0001143A" w:rsidTr="00DD20D0">
        <w:tc>
          <w:tcPr>
            <w:tcW w:w="2045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6" w:type="dxa"/>
          </w:tcPr>
          <w:p w:rsidR="0001143A" w:rsidRDefault="0001143A" w:rsidP="00DD20D0">
            <w:pPr>
              <w:jc w:val="both"/>
            </w:pPr>
            <w: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588" w:type="dxa"/>
          </w:tcPr>
          <w:p w:rsidR="0001143A" w:rsidRDefault="0001143A" w:rsidP="00DD20D0">
            <w:pPr>
              <w:jc w:val="both"/>
            </w:pPr>
            <w:r>
              <w:t>на 4 месяца</w:t>
            </w:r>
          </w:p>
        </w:tc>
        <w:tc>
          <w:tcPr>
            <w:tcW w:w="2368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143A" w:rsidTr="00DD20D0">
        <w:tc>
          <w:tcPr>
            <w:tcW w:w="2045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6" w:type="dxa"/>
          </w:tcPr>
          <w:p w:rsidR="0001143A" w:rsidRDefault="0001143A" w:rsidP="00DD20D0">
            <w:pPr>
              <w:jc w:val="both"/>
            </w:pPr>
            <w: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588" w:type="dxa"/>
          </w:tcPr>
          <w:p w:rsidR="0001143A" w:rsidRDefault="0001143A" w:rsidP="00DD20D0">
            <w:pPr>
              <w:jc w:val="both"/>
            </w:pPr>
            <w:r>
              <w:t>до 30 октября 2020 года;</w:t>
            </w:r>
          </w:p>
        </w:tc>
        <w:tc>
          <w:tcPr>
            <w:tcW w:w="2368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143A" w:rsidTr="00DD20D0">
        <w:tc>
          <w:tcPr>
            <w:tcW w:w="2045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6" w:type="dxa"/>
          </w:tcPr>
          <w:p w:rsidR="0001143A" w:rsidRDefault="0001143A" w:rsidP="00DD20D0">
            <w:pPr>
              <w:jc w:val="both"/>
            </w:pPr>
            <w: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588" w:type="dxa"/>
          </w:tcPr>
          <w:p w:rsidR="0001143A" w:rsidRDefault="0001143A" w:rsidP="00DD20D0">
            <w:pPr>
              <w:jc w:val="both"/>
            </w:pPr>
            <w:r>
              <w:t>до 30 декабря 2020 года.</w:t>
            </w:r>
          </w:p>
          <w:p w:rsidR="0001143A" w:rsidRDefault="0001143A" w:rsidP="00DD20D0">
            <w:pPr>
              <w:jc w:val="both"/>
            </w:pPr>
            <w:r>
              <w:t>-</w:t>
            </w:r>
          </w:p>
        </w:tc>
        <w:tc>
          <w:tcPr>
            <w:tcW w:w="2368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143A" w:rsidTr="00DD20D0">
        <w:tc>
          <w:tcPr>
            <w:tcW w:w="2045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6" w:type="dxa"/>
          </w:tcPr>
          <w:p w:rsidR="0001143A" w:rsidRDefault="0001143A" w:rsidP="00DD20D0">
            <w:pPr>
              <w:jc w:val="both"/>
            </w:pPr>
            <w: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588" w:type="dxa"/>
          </w:tcPr>
          <w:p w:rsidR="0001143A" w:rsidRDefault="0001143A" w:rsidP="00DD20D0">
            <w:pPr>
              <w:jc w:val="both"/>
            </w:pPr>
            <w:r>
              <w:t>на 3 месяца</w:t>
            </w:r>
          </w:p>
        </w:tc>
        <w:tc>
          <w:tcPr>
            <w:tcW w:w="2368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143A" w:rsidTr="00DD20D0">
        <w:tc>
          <w:tcPr>
            <w:tcW w:w="2045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6" w:type="dxa"/>
          </w:tcPr>
          <w:p w:rsidR="0001143A" w:rsidRDefault="0001143A" w:rsidP="00DD20D0">
            <w:pPr>
              <w:jc w:val="both"/>
            </w:pPr>
            <w:r>
              <w:t>продление срока уплаты страховых взносов за март-май 2020 года;</w:t>
            </w:r>
          </w:p>
        </w:tc>
        <w:tc>
          <w:tcPr>
            <w:tcW w:w="1588" w:type="dxa"/>
          </w:tcPr>
          <w:p w:rsidR="0001143A" w:rsidRDefault="0001143A" w:rsidP="00DD20D0">
            <w:pPr>
              <w:jc w:val="both"/>
            </w:pPr>
            <w:r>
              <w:t>на 6 месяцев</w:t>
            </w:r>
          </w:p>
        </w:tc>
        <w:tc>
          <w:tcPr>
            <w:tcW w:w="2368" w:type="dxa"/>
            <w:vMerge w:val="restart"/>
          </w:tcPr>
          <w:p w:rsidR="0001143A" w:rsidRDefault="0001143A" w:rsidP="00DD20D0">
            <w:r>
              <w:t xml:space="preserve">для </w:t>
            </w:r>
            <w:proofErr w:type="spellStart"/>
            <w:r>
              <w:t>микропредприятий</w:t>
            </w:r>
            <w:proofErr w:type="spellEnd"/>
            <w:r>
              <w:t>, ведущих деятельность в наиболее пострадавших отраслях</w:t>
            </w:r>
          </w:p>
        </w:tc>
      </w:tr>
      <w:tr w:rsidR="0001143A" w:rsidTr="00DD20D0">
        <w:tc>
          <w:tcPr>
            <w:tcW w:w="2045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6" w:type="dxa"/>
          </w:tcPr>
          <w:p w:rsidR="0001143A" w:rsidRDefault="0001143A" w:rsidP="00DD20D0">
            <w:pPr>
              <w:jc w:val="both"/>
            </w:pPr>
            <w: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588" w:type="dxa"/>
          </w:tcPr>
          <w:p w:rsidR="0001143A" w:rsidRDefault="0001143A" w:rsidP="00DD20D0">
            <w:pPr>
              <w:jc w:val="both"/>
            </w:pPr>
            <w:r>
              <w:t>на 4 месяца</w:t>
            </w:r>
          </w:p>
        </w:tc>
        <w:tc>
          <w:tcPr>
            <w:tcW w:w="2368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143A" w:rsidTr="00DD20D0">
        <w:tc>
          <w:tcPr>
            <w:tcW w:w="2045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6" w:type="dxa"/>
          </w:tcPr>
          <w:p w:rsidR="0001143A" w:rsidRDefault="0001143A" w:rsidP="00DD20D0">
            <w:pPr>
              <w:jc w:val="both"/>
            </w:pPr>
            <w:r>
              <w:t>- продление срока уплаты налога на прибыль, УСН, ЕСХН за 2019 год;</w:t>
            </w:r>
          </w:p>
          <w:p w:rsidR="0001143A" w:rsidRDefault="0001143A" w:rsidP="00DD20D0">
            <w:pPr>
              <w:jc w:val="both"/>
            </w:pPr>
            <w: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588" w:type="dxa"/>
          </w:tcPr>
          <w:p w:rsidR="0001143A" w:rsidRDefault="0001143A" w:rsidP="00DD20D0">
            <w:pPr>
              <w:jc w:val="both"/>
            </w:pPr>
            <w:r>
              <w:t>на 3 месяца</w:t>
            </w:r>
          </w:p>
        </w:tc>
        <w:tc>
          <w:tcPr>
            <w:tcW w:w="2368" w:type="dxa"/>
            <w:vMerge w:val="restart"/>
          </w:tcPr>
          <w:p w:rsidR="0001143A" w:rsidRDefault="0001143A" w:rsidP="00DD20D0">
            <w:pPr>
              <w:jc w:val="both"/>
            </w:pPr>
            <w:r>
              <w:t>для  организаций и ИП, не включенных по состоянию на 01.03.2020 в реестр МСП, ведущих деятельность в наиболее пострадавших отраслях</w:t>
            </w:r>
          </w:p>
        </w:tc>
      </w:tr>
      <w:tr w:rsidR="0001143A" w:rsidTr="00DD20D0">
        <w:tc>
          <w:tcPr>
            <w:tcW w:w="2045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6" w:type="dxa"/>
          </w:tcPr>
          <w:p w:rsidR="0001143A" w:rsidRDefault="0001143A" w:rsidP="00DD20D0">
            <w:pPr>
              <w:jc w:val="both"/>
            </w:pPr>
            <w:r>
              <w:t xml:space="preserve">продление сроков уплаты авансовых платежей по транспортному налогу, </w:t>
            </w:r>
            <w:r>
              <w:lastRenderedPageBreak/>
              <w:t>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588" w:type="dxa"/>
          </w:tcPr>
          <w:p w:rsidR="0001143A" w:rsidRDefault="0001143A" w:rsidP="00DD20D0">
            <w:pPr>
              <w:jc w:val="both"/>
            </w:pPr>
            <w:r>
              <w:lastRenderedPageBreak/>
              <w:t>до 30 июля 2020 года;</w:t>
            </w:r>
          </w:p>
        </w:tc>
        <w:tc>
          <w:tcPr>
            <w:tcW w:w="2368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143A" w:rsidTr="00DD20D0">
        <w:tc>
          <w:tcPr>
            <w:tcW w:w="2045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6" w:type="dxa"/>
          </w:tcPr>
          <w:p w:rsidR="0001143A" w:rsidRDefault="0001143A" w:rsidP="00DD20D0">
            <w:pPr>
              <w:jc w:val="both"/>
            </w:pPr>
            <w:r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588" w:type="dxa"/>
          </w:tcPr>
          <w:p w:rsidR="0001143A" w:rsidRDefault="0001143A" w:rsidP="00DD20D0">
            <w:pPr>
              <w:jc w:val="both"/>
            </w:pPr>
            <w:r>
              <w:t>до 30 октября 2020 года.</w:t>
            </w:r>
          </w:p>
        </w:tc>
        <w:tc>
          <w:tcPr>
            <w:tcW w:w="2368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143A" w:rsidTr="00DD20D0">
        <w:tc>
          <w:tcPr>
            <w:tcW w:w="2045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6" w:type="dxa"/>
          </w:tcPr>
          <w:p w:rsidR="0001143A" w:rsidRDefault="0001143A" w:rsidP="00DD20D0">
            <w:pPr>
              <w:jc w:val="both"/>
              <w:rPr>
                <w:b/>
              </w:rPr>
            </w:pPr>
            <w:r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588" w:type="dxa"/>
          </w:tcPr>
          <w:p w:rsidR="0001143A" w:rsidRDefault="0001143A" w:rsidP="00DD20D0">
            <w:pPr>
              <w:jc w:val="both"/>
              <w:rPr>
                <w:b/>
              </w:rPr>
            </w:pPr>
            <w:r>
              <w:t>на 3 месяца</w:t>
            </w:r>
          </w:p>
        </w:tc>
        <w:tc>
          <w:tcPr>
            <w:tcW w:w="2368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01143A" w:rsidTr="00DD20D0">
        <w:tc>
          <w:tcPr>
            <w:tcW w:w="2045" w:type="dxa"/>
            <w:vMerge w:val="restart"/>
          </w:tcPr>
          <w:p w:rsidR="0001143A" w:rsidRDefault="0001143A" w:rsidP="00DD2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Продление срока предоставления отчетности</w:t>
            </w:r>
          </w:p>
        </w:tc>
        <w:tc>
          <w:tcPr>
            <w:tcW w:w="4336" w:type="dxa"/>
          </w:tcPr>
          <w:p w:rsidR="0001143A" w:rsidRDefault="0001143A" w:rsidP="00DD20D0">
            <w:pPr>
              <w:spacing w:line="257" w:lineRule="auto"/>
              <w:jc w:val="both"/>
            </w:pPr>
            <w:r>
              <w:t>продление срока представления:</w:t>
            </w:r>
          </w:p>
          <w:p w:rsidR="0001143A" w:rsidRDefault="0001143A" w:rsidP="00DD20D0">
            <w:pPr>
              <w:spacing w:line="257" w:lineRule="auto"/>
              <w:jc w:val="both"/>
            </w:pPr>
            <w: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01143A" w:rsidRDefault="0001143A" w:rsidP="00DD20D0">
            <w:pPr>
              <w:spacing w:line="257" w:lineRule="auto"/>
              <w:jc w:val="both"/>
            </w:pPr>
            <w: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01143A" w:rsidRDefault="0001143A" w:rsidP="00DD20D0">
            <w:pPr>
              <w:spacing w:line="257" w:lineRule="auto"/>
              <w:jc w:val="both"/>
              <w:rPr>
                <w:b/>
              </w:rPr>
            </w:pPr>
            <w:r>
              <w:t>3) заявлений о проведении налогового мониторинга за 2021 год.</w:t>
            </w:r>
          </w:p>
        </w:tc>
        <w:tc>
          <w:tcPr>
            <w:tcW w:w="1588" w:type="dxa"/>
          </w:tcPr>
          <w:p w:rsidR="0001143A" w:rsidRDefault="0001143A" w:rsidP="00DD20D0">
            <w:r>
              <w:t>На 3 месяца</w:t>
            </w:r>
          </w:p>
        </w:tc>
        <w:tc>
          <w:tcPr>
            <w:tcW w:w="2368" w:type="dxa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Для всех организаций и ИП</w:t>
            </w:r>
          </w:p>
        </w:tc>
      </w:tr>
      <w:tr w:rsidR="0001143A" w:rsidTr="00DD20D0">
        <w:tc>
          <w:tcPr>
            <w:tcW w:w="2045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B2B2B"/>
                <w:highlight w:val="white"/>
              </w:rPr>
            </w:pPr>
          </w:p>
        </w:tc>
        <w:tc>
          <w:tcPr>
            <w:tcW w:w="4336" w:type="dxa"/>
          </w:tcPr>
          <w:p w:rsidR="0001143A" w:rsidRDefault="0001143A" w:rsidP="00DD20D0">
            <w:pPr>
              <w:spacing w:line="257" w:lineRule="auto"/>
              <w:jc w:val="both"/>
            </w:pPr>
            <w: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588" w:type="dxa"/>
          </w:tcPr>
          <w:p w:rsidR="0001143A" w:rsidRDefault="0001143A" w:rsidP="00DD20D0">
            <w:r>
              <w:t>на 20 рабочих дней</w:t>
            </w:r>
          </w:p>
        </w:tc>
        <w:tc>
          <w:tcPr>
            <w:tcW w:w="2368" w:type="dxa"/>
            <w:vMerge w:val="restart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Для всех налогоплательщиков</w:t>
            </w:r>
          </w:p>
        </w:tc>
      </w:tr>
      <w:tr w:rsidR="0001143A" w:rsidTr="00DD20D0">
        <w:tc>
          <w:tcPr>
            <w:tcW w:w="2045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B2B2B"/>
                <w:highlight w:val="white"/>
              </w:rPr>
            </w:pPr>
          </w:p>
        </w:tc>
        <w:tc>
          <w:tcPr>
            <w:tcW w:w="4336" w:type="dxa"/>
          </w:tcPr>
          <w:p w:rsidR="0001143A" w:rsidRDefault="0001143A" w:rsidP="00DD20D0">
            <w:pPr>
              <w:spacing w:line="257" w:lineRule="auto"/>
              <w:jc w:val="both"/>
            </w:pPr>
            <w: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588" w:type="dxa"/>
          </w:tcPr>
          <w:p w:rsidR="0001143A" w:rsidRDefault="0001143A" w:rsidP="00DD20D0">
            <w:r>
              <w:t>на 10 рабочих дней</w:t>
            </w:r>
          </w:p>
        </w:tc>
        <w:tc>
          <w:tcPr>
            <w:tcW w:w="2368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1143A" w:rsidTr="00DD20D0">
        <w:tc>
          <w:tcPr>
            <w:tcW w:w="2045" w:type="dxa"/>
            <w:vMerge w:val="restart"/>
          </w:tcPr>
          <w:p w:rsidR="0001143A" w:rsidRDefault="0001143A" w:rsidP="00DD20D0">
            <w:pPr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Запрет на проверки, взыскания и санкции со стороны ФНС и других органов КНД</w:t>
            </w:r>
          </w:p>
          <w:p w:rsidR="0001143A" w:rsidRDefault="0001143A" w:rsidP="00DD20D0">
            <w:pPr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Блокировка</w:t>
            </w:r>
          </w:p>
        </w:tc>
        <w:tc>
          <w:tcPr>
            <w:tcW w:w="4336" w:type="dxa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приостановление:</w:t>
            </w:r>
          </w:p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2) проведения уже назначенных выездных (повторных выездных) налоговых проверок,</w:t>
            </w:r>
          </w:p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3) проведения проверок соблюдения валютного законодательства, за исключением случаев, когда по уже </w:t>
            </w:r>
            <w:r>
              <w:rPr>
                <w:color w:val="2B2B2B"/>
                <w:highlight w:val="white"/>
              </w:rPr>
              <w:lastRenderedPageBreak/>
              <w:t>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4) сроков:</w:t>
            </w:r>
          </w:p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- для представления возражений на указанные акты,</w:t>
            </w:r>
          </w:p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- для рассмотрения налоговым органом таких актов и возражений</w:t>
            </w:r>
          </w:p>
        </w:tc>
        <w:tc>
          <w:tcPr>
            <w:tcW w:w="1588" w:type="dxa"/>
            <w:vMerge w:val="restart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lastRenderedPageBreak/>
              <w:t>до 1 июня 2020 года</w:t>
            </w:r>
          </w:p>
        </w:tc>
        <w:tc>
          <w:tcPr>
            <w:tcW w:w="2368" w:type="dxa"/>
            <w:vMerge w:val="restart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</w:tr>
      <w:tr w:rsidR="0001143A" w:rsidTr="00DD20D0">
        <w:tc>
          <w:tcPr>
            <w:tcW w:w="2045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B2B2B"/>
                <w:highlight w:val="white"/>
              </w:rPr>
            </w:pPr>
          </w:p>
        </w:tc>
        <w:tc>
          <w:tcPr>
            <w:tcW w:w="4336" w:type="dxa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приостановление:</w:t>
            </w:r>
          </w:p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</w:t>
            </w:r>
            <w:proofErr w:type="spellStart"/>
            <w:r>
              <w:rPr>
                <w:color w:val="2B2B2B"/>
                <w:highlight w:val="white"/>
              </w:rPr>
              <w:t>необеспечением</w:t>
            </w:r>
            <w:proofErr w:type="spellEnd"/>
            <w:r>
              <w:rPr>
                <w:color w:val="2B2B2B"/>
                <w:highlight w:val="white"/>
              </w:rPr>
              <w:t xml:space="preserve"> приема документов по ТКС;</w:t>
            </w:r>
          </w:p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 - запрета </w:t>
            </w:r>
            <w:proofErr w:type="gramStart"/>
            <w:r>
              <w:rPr>
                <w:color w:val="2B2B2B"/>
                <w:highlight w:val="white"/>
              </w:rPr>
              <w:t>на открытие счетов в банках при наличии решения о приостановлении операций по счетам</w:t>
            </w:r>
            <w:proofErr w:type="gramEnd"/>
            <w:r>
              <w:rPr>
                <w:color w:val="2B2B2B"/>
                <w:highlight w:val="white"/>
              </w:rPr>
              <w:t xml:space="preserve">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588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B2B2B"/>
                <w:highlight w:val="white"/>
              </w:rPr>
            </w:pPr>
          </w:p>
        </w:tc>
        <w:tc>
          <w:tcPr>
            <w:tcW w:w="2368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B2B2B"/>
                <w:highlight w:val="white"/>
              </w:rPr>
            </w:pPr>
          </w:p>
        </w:tc>
      </w:tr>
      <w:tr w:rsidR="0001143A" w:rsidTr="00DD20D0">
        <w:tc>
          <w:tcPr>
            <w:tcW w:w="2045" w:type="dxa"/>
            <w:vMerge w:val="restart"/>
          </w:tcPr>
          <w:p w:rsidR="0001143A" w:rsidRDefault="0001143A" w:rsidP="00DD20D0">
            <w:pPr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Мораторий на налоговые санкции</w:t>
            </w:r>
          </w:p>
        </w:tc>
        <w:tc>
          <w:tcPr>
            <w:tcW w:w="4336" w:type="dxa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588" w:type="dxa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по 1 июня 2020 года</w:t>
            </w:r>
          </w:p>
        </w:tc>
        <w:tc>
          <w:tcPr>
            <w:tcW w:w="2368" w:type="dxa"/>
          </w:tcPr>
          <w:p w:rsidR="0001143A" w:rsidRDefault="0001143A" w:rsidP="00DD20D0">
            <w:r>
              <w:rPr>
                <w:color w:val="2B2B2B"/>
                <w:highlight w:val="white"/>
              </w:rPr>
              <w:t xml:space="preserve">Для всех налогоплательщиков </w:t>
            </w:r>
          </w:p>
        </w:tc>
      </w:tr>
      <w:tr w:rsidR="0001143A" w:rsidTr="00DD20D0">
        <w:tc>
          <w:tcPr>
            <w:tcW w:w="2045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6" w:type="dxa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588" w:type="dxa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на 6 месяцев</w:t>
            </w:r>
          </w:p>
        </w:tc>
        <w:tc>
          <w:tcPr>
            <w:tcW w:w="2368" w:type="dxa"/>
          </w:tcPr>
          <w:p w:rsidR="0001143A" w:rsidRDefault="0001143A" w:rsidP="00DD20D0">
            <w:r>
              <w:rPr>
                <w:color w:val="2B2B2B"/>
                <w:highlight w:val="white"/>
              </w:rPr>
              <w:t xml:space="preserve">Для всех налогоплательщиков </w:t>
            </w:r>
          </w:p>
        </w:tc>
      </w:tr>
      <w:tr w:rsidR="0001143A" w:rsidTr="00DD20D0">
        <w:tc>
          <w:tcPr>
            <w:tcW w:w="2045" w:type="dxa"/>
            <w:vMerge/>
          </w:tcPr>
          <w:p w:rsidR="0001143A" w:rsidRDefault="0001143A" w:rsidP="00DD20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336" w:type="dxa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588" w:type="dxa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период с 1 марта 2020 года по 1 июня 2020 года</w:t>
            </w:r>
          </w:p>
        </w:tc>
        <w:tc>
          <w:tcPr>
            <w:tcW w:w="2368" w:type="dxa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Для организаций и ИП, относящихся к пострадавшим отраслям</w:t>
            </w:r>
          </w:p>
        </w:tc>
      </w:tr>
      <w:tr w:rsidR="0001143A" w:rsidTr="00DD20D0">
        <w:tc>
          <w:tcPr>
            <w:tcW w:w="2045" w:type="dxa"/>
          </w:tcPr>
          <w:p w:rsidR="0001143A" w:rsidRDefault="0001143A" w:rsidP="00DD20D0">
            <w:pPr>
              <w:rPr>
                <w:b/>
              </w:rPr>
            </w:pPr>
            <w:r>
              <w:rPr>
                <w:b/>
                <w:color w:val="2B2B2B"/>
                <w:highlight w:val="white"/>
              </w:rPr>
              <w:lastRenderedPageBreak/>
              <w:t xml:space="preserve">Снижение тарифов по страховым взносам </w:t>
            </w:r>
          </w:p>
          <w:p w:rsidR="0001143A" w:rsidRDefault="0001143A" w:rsidP="00DD2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</w:p>
        </w:tc>
        <w:tc>
          <w:tcPr>
            <w:tcW w:w="4336" w:type="dxa"/>
          </w:tcPr>
          <w:p w:rsidR="0001143A" w:rsidRDefault="0001143A" w:rsidP="00DD20D0">
            <w:pPr>
              <w:spacing w:line="257" w:lineRule="auto"/>
              <w:jc w:val="both"/>
              <w:rPr>
                <w:b/>
              </w:rPr>
            </w:pPr>
            <w:r>
              <w:rPr>
                <w:color w:val="2B2B2B"/>
                <w:highlight w:val="white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588" w:type="dxa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</w:p>
        </w:tc>
        <w:tc>
          <w:tcPr>
            <w:tcW w:w="2368" w:type="dxa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индивидуальные предприниматели, малый бизнес и </w:t>
            </w:r>
            <w:proofErr w:type="spellStart"/>
            <w:r>
              <w:rPr>
                <w:color w:val="2B2B2B"/>
                <w:highlight w:val="white"/>
              </w:rPr>
              <w:t>микропредприятия</w:t>
            </w:r>
            <w:proofErr w:type="spellEnd"/>
          </w:p>
        </w:tc>
      </w:tr>
      <w:tr w:rsidR="0001143A" w:rsidTr="00DD20D0">
        <w:tc>
          <w:tcPr>
            <w:tcW w:w="2045" w:type="dxa"/>
          </w:tcPr>
          <w:p w:rsidR="0001143A" w:rsidRDefault="0001143A" w:rsidP="00DD20D0">
            <w:pPr>
              <w:rPr>
                <w:b/>
              </w:rPr>
            </w:pPr>
            <w:r>
              <w:rPr>
                <w:b/>
                <w:color w:val="2B2B2B"/>
                <w:highlight w:val="white"/>
              </w:rPr>
              <w:t xml:space="preserve">Мораторий на рост взносов ИП </w:t>
            </w:r>
          </w:p>
        </w:tc>
        <w:tc>
          <w:tcPr>
            <w:tcW w:w="4336" w:type="dxa"/>
          </w:tcPr>
          <w:p w:rsidR="0001143A" w:rsidRDefault="0001143A" w:rsidP="00DD20D0">
            <w:pPr>
              <w:jc w:val="both"/>
            </w:pPr>
            <w:r>
              <w:rPr>
                <w:color w:val="2B2B2B"/>
                <w:highlight w:val="white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</w:p>
        </w:tc>
        <w:tc>
          <w:tcPr>
            <w:tcW w:w="1588" w:type="dxa"/>
          </w:tcPr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до конца 2020 г.</w:t>
            </w:r>
          </w:p>
        </w:tc>
        <w:tc>
          <w:tcPr>
            <w:tcW w:w="2368" w:type="dxa"/>
          </w:tcPr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ИП</w:t>
            </w:r>
          </w:p>
        </w:tc>
      </w:tr>
      <w:tr w:rsidR="0001143A" w:rsidTr="00DD20D0">
        <w:tc>
          <w:tcPr>
            <w:tcW w:w="2045" w:type="dxa"/>
          </w:tcPr>
          <w:p w:rsidR="0001143A" w:rsidRDefault="0001143A" w:rsidP="00DD20D0">
            <w:pPr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Беспроцентные кредиты на выплату зарплат</w:t>
            </w:r>
          </w:p>
        </w:tc>
        <w:tc>
          <w:tcPr>
            <w:tcW w:w="4336" w:type="dxa"/>
          </w:tcPr>
          <w:p w:rsidR="0001143A" w:rsidRDefault="0001143A" w:rsidP="00DD20D0">
            <w:pPr>
              <w:jc w:val="both"/>
              <w:rPr>
                <w:b/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01143A" w:rsidRDefault="0001143A" w:rsidP="00DD20D0">
            <w:pPr>
              <w:jc w:val="both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Условия для получения кредита:</w:t>
            </w:r>
          </w:p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Гарантия по кредиту обеспечивается поручительством ВЭБ (до 75%).</w:t>
            </w:r>
          </w:p>
          <w:p w:rsidR="0001143A" w:rsidRDefault="0001143A" w:rsidP="00DD20D0">
            <w:pPr>
              <w:jc w:val="both"/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Параметры кредита:</w:t>
            </w:r>
          </w:p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Кредит будет предоставляться на срок не более 6 месяцев. </w:t>
            </w:r>
          </w:p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</w:t>
            </w:r>
            <w:proofErr w:type="spellStart"/>
            <w:r>
              <w:rPr>
                <w:color w:val="2B2B2B"/>
                <w:highlight w:val="white"/>
              </w:rPr>
              <w:t>х</w:t>
            </w:r>
            <w:proofErr w:type="spellEnd"/>
            <w:r>
              <w:rPr>
                <w:color w:val="2B2B2B"/>
                <w:highlight w:val="white"/>
              </w:rPr>
              <w:t xml:space="preserve"> МРОТ </w:t>
            </w:r>
            <w:proofErr w:type="spellStart"/>
            <w:proofErr w:type="gramStart"/>
            <w:r>
              <w:rPr>
                <w:color w:val="2B2B2B"/>
                <w:highlight w:val="white"/>
              </w:rPr>
              <w:t>х</w:t>
            </w:r>
            <w:proofErr w:type="spellEnd"/>
            <w:proofErr w:type="gramEnd"/>
            <w:r>
              <w:rPr>
                <w:color w:val="2B2B2B"/>
                <w:highlight w:val="white"/>
              </w:rPr>
              <w:t xml:space="preserve"> на 6 мес. </w:t>
            </w:r>
          </w:p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Ставка для заёмщика – 0%.</w:t>
            </w:r>
          </w:p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 </w:t>
            </w:r>
          </w:p>
        </w:tc>
        <w:tc>
          <w:tcPr>
            <w:tcW w:w="1588" w:type="dxa"/>
          </w:tcPr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бессрочно</w:t>
            </w:r>
          </w:p>
        </w:tc>
        <w:tc>
          <w:tcPr>
            <w:tcW w:w="2368" w:type="dxa"/>
          </w:tcPr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индивидуальные предприниматели, малый бизнес и </w:t>
            </w:r>
            <w:proofErr w:type="spellStart"/>
            <w:r>
              <w:rPr>
                <w:color w:val="2B2B2B"/>
                <w:highlight w:val="white"/>
              </w:rPr>
              <w:t>микропредприятия</w:t>
            </w:r>
            <w:proofErr w:type="spellEnd"/>
          </w:p>
        </w:tc>
      </w:tr>
      <w:tr w:rsidR="0001143A" w:rsidTr="00DD20D0">
        <w:tc>
          <w:tcPr>
            <w:tcW w:w="2045" w:type="dxa"/>
          </w:tcPr>
          <w:p w:rsidR="0001143A" w:rsidRDefault="0001143A" w:rsidP="00DD20D0">
            <w:pPr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4336" w:type="dxa"/>
          </w:tcPr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Упрощены требования к заёмщику, из обязательных условий исключены пункты:</w:t>
            </w:r>
          </w:p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отсутствие задолженности по налогам, сборам;</w:t>
            </w:r>
          </w:p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отсутствие задолженности по заработной плате;</w:t>
            </w:r>
          </w:p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lastRenderedPageBreak/>
              <w:t>отсутствие просроченных на срок свыше 30 дней платежей по кредитным договорам.</w:t>
            </w:r>
          </w:p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Получать кредиты по льготной ставке теперь смогут </w:t>
            </w:r>
            <w:proofErr w:type="spellStart"/>
            <w:r>
              <w:rPr>
                <w:color w:val="2B2B2B"/>
                <w:highlight w:val="white"/>
              </w:rPr>
              <w:t>микропредприятия</w:t>
            </w:r>
            <w:proofErr w:type="spellEnd"/>
            <w:r>
              <w:rPr>
                <w:color w:val="2B2B2B"/>
                <w:highlight w:val="white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>
              <w:rPr>
                <w:color w:val="2B2B2B"/>
                <w:highlight w:val="white"/>
              </w:rPr>
              <w:t>микропредприятий</w:t>
            </w:r>
            <w:proofErr w:type="spellEnd"/>
            <w:r>
              <w:rPr>
                <w:color w:val="2B2B2B"/>
                <w:highlight w:val="white"/>
              </w:rPr>
              <w:t xml:space="preserve">, заключивших кредитные соглашения на оборотные цели в 2020 году на срок не более 2 лет). </w:t>
            </w:r>
          </w:p>
        </w:tc>
        <w:tc>
          <w:tcPr>
            <w:tcW w:w="1588" w:type="dxa"/>
          </w:tcPr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lastRenderedPageBreak/>
              <w:t>бессрочно</w:t>
            </w:r>
          </w:p>
        </w:tc>
        <w:tc>
          <w:tcPr>
            <w:tcW w:w="2368" w:type="dxa"/>
          </w:tcPr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индивидуальные предприниматели, малый бизнес и </w:t>
            </w:r>
            <w:proofErr w:type="spellStart"/>
            <w:r>
              <w:rPr>
                <w:color w:val="2B2B2B"/>
                <w:highlight w:val="white"/>
              </w:rPr>
              <w:t>микропредприятия</w:t>
            </w:r>
            <w:proofErr w:type="spellEnd"/>
          </w:p>
        </w:tc>
      </w:tr>
      <w:tr w:rsidR="0001143A" w:rsidTr="00DD20D0">
        <w:tc>
          <w:tcPr>
            <w:tcW w:w="2045" w:type="dxa"/>
          </w:tcPr>
          <w:p w:rsidR="0001143A" w:rsidRDefault="0001143A" w:rsidP="00DD20D0">
            <w:pPr>
              <w:rPr>
                <w:b/>
              </w:rPr>
            </w:pPr>
            <w:r>
              <w:rPr>
                <w:b/>
                <w:color w:val="2B2B2B"/>
                <w:highlight w:val="white"/>
              </w:rPr>
              <w:lastRenderedPageBreak/>
              <w:t xml:space="preserve">Отсрочка по взносам </w:t>
            </w:r>
          </w:p>
          <w:p w:rsidR="0001143A" w:rsidRDefault="0001143A" w:rsidP="00DD20D0">
            <w:pPr>
              <w:rPr>
                <w:b/>
                <w:color w:val="2B2B2B"/>
                <w:highlight w:val="white"/>
              </w:rPr>
            </w:pPr>
          </w:p>
        </w:tc>
        <w:tc>
          <w:tcPr>
            <w:tcW w:w="4336" w:type="dxa"/>
          </w:tcPr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отсрочка по страховым взносам. В период пандемии страховое обеспечение с зарплат работников можно не платить. </w:t>
            </w:r>
          </w:p>
        </w:tc>
        <w:tc>
          <w:tcPr>
            <w:tcW w:w="1588" w:type="dxa"/>
          </w:tcPr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На 6 месяцев</w:t>
            </w:r>
          </w:p>
        </w:tc>
        <w:tc>
          <w:tcPr>
            <w:tcW w:w="2368" w:type="dxa"/>
          </w:tcPr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proofErr w:type="spellStart"/>
            <w:r>
              <w:rPr>
                <w:color w:val="2B2B2B"/>
                <w:highlight w:val="white"/>
              </w:rPr>
              <w:t>Микропредприятия</w:t>
            </w:r>
            <w:proofErr w:type="spellEnd"/>
          </w:p>
        </w:tc>
      </w:tr>
      <w:tr w:rsidR="0001143A" w:rsidTr="00DD20D0">
        <w:tc>
          <w:tcPr>
            <w:tcW w:w="2045" w:type="dxa"/>
          </w:tcPr>
          <w:p w:rsidR="0001143A" w:rsidRDefault="0001143A" w:rsidP="00DD20D0">
            <w:pPr>
              <w:rPr>
                <w:b/>
                <w:color w:val="2B2B2B"/>
                <w:highlight w:val="white"/>
              </w:rPr>
            </w:pPr>
            <w:r>
              <w:rPr>
                <w:b/>
                <w:color w:val="2B2B2B"/>
                <w:highlight w:val="white"/>
              </w:rPr>
              <w:t xml:space="preserve">Отсрочка по кредиту </w:t>
            </w:r>
          </w:p>
        </w:tc>
        <w:tc>
          <w:tcPr>
            <w:tcW w:w="4336" w:type="dxa"/>
          </w:tcPr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  <w:tc>
          <w:tcPr>
            <w:tcW w:w="1588" w:type="dxa"/>
          </w:tcPr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На 6 месяцев</w:t>
            </w:r>
          </w:p>
        </w:tc>
        <w:tc>
          <w:tcPr>
            <w:tcW w:w="2368" w:type="dxa"/>
          </w:tcPr>
          <w:p w:rsidR="0001143A" w:rsidRDefault="0001143A" w:rsidP="00DD20D0">
            <w:pPr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индивидуальные предприниматели, малый бизнес и </w:t>
            </w:r>
            <w:proofErr w:type="spellStart"/>
            <w:r>
              <w:rPr>
                <w:color w:val="2B2B2B"/>
                <w:highlight w:val="white"/>
              </w:rPr>
              <w:t>микропредприятия</w:t>
            </w:r>
            <w:proofErr w:type="spellEnd"/>
          </w:p>
        </w:tc>
      </w:tr>
      <w:tr w:rsidR="0001143A" w:rsidTr="00DD20D0">
        <w:tc>
          <w:tcPr>
            <w:tcW w:w="2045" w:type="dxa"/>
          </w:tcPr>
          <w:p w:rsidR="0001143A" w:rsidRDefault="0001143A" w:rsidP="00DD20D0">
            <w:pPr>
              <w:rPr>
                <w:b/>
              </w:rPr>
            </w:pPr>
            <w:proofErr w:type="spellStart"/>
            <w:r>
              <w:rPr>
                <w:b/>
                <w:color w:val="2B2B2B"/>
                <w:highlight w:val="white"/>
              </w:rPr>
              <w:t>Спецпрограмма</w:t>
            </w:r>
            <w:proofErr w:type="spellEnd"/>
            <w:r>
              <w:rPr>
                <w:b/>
                <w:color w:val="2B2B2B"/>
                <w:highlight w:val="white"/>
              </w:rPr>
              <w:t xml:space="preserve"> стимулирования</w:t>
            </w:r>
          </w:p>
          <w:p w:rsidR="0001143A" w:rsidRDefault="0001143A" w:rsidP="00DD2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</w:p>
        </w:tc>
        <w:tc>
          <w:tcPr>
            <w:tcW w:w="4336" w:type="dxa"/>
          </w:tcPr>
          <w:p w:rsidR="0001143A" w:rsidRDefault="0001143A" w:rsidP="00DD20D0">
            <w:pPr>
              <w:spacing w:line="257" w:lineRule="auto"/>
              <w:jc w:val="both"/>
              <w:rPr>
                <w:b/>
              </w:rPr>
            </w:pPr>
            <w: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588" w:type="dxa"/>
          </w:tcPr>
          <w:p w:rsidR="0001143A" w:rsidRDefault="0001143A" w:rsidP="00DD20D0">
            <w:pPr>
              <w:spacing w:line="257" w:lineRule="auto"/>
              <w:jc w:val="both"/>
            </w:pPr>
          </w:p>
        </w:tc>
        <w:tc>
          <w:tcPr>
            <w:tcW w:w="2368" w:type="dxa"/>
          </w:tcPr>
          <w:p w:rsidR="0001143A" w:rsidRDefault="0001143A" w:rsidP="00DD20D0">
            <w:pPr>
              <w:spacing w:line="257" w:lineRule="auto"/>
              <w:jc w:val="both"/>
            </w:pPr>
            <w:r>
              <w:rPr>
                <w:color w:val="2B2B2B"/>
                <w:highlight w:val="white"/>
              </w:rPr>
              <w:t xml:space="preserve">индивидуальные предприниматели, малый бизнес и </w:t>
            </w:r>
            <w:proofErr w:type="spellStart"/>
            <w:r>
              <w:rPr>
                <w:color w:val="2B2B2B"/>
                <w:highlight w:val="white"/>
              </w:rPr>
              <w:t>микропредприятия</w:t>
            </w:r>
            <w:proofErr w:type="spellEnd"/>
          </w:p>
        </w:tc>
      </w:tr>
      <w:tr w:rsidR="0001143A" w:rsidTr="00DD20D0">
        <w:tc>
          <w:tcPr>
            <w:tcW w:w="2045" w:type="dxa"/>
          </w:tcPr>
          <w:p w:rsidR="0001143A" w:rsidRDefault="0001143A" w:rsidP="00DD2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  <w:r>
              <w:rPr>
                <w:b/>
                <w:color w:val="2B2B2B"/>
                <w:highlight w:val="white"/>
              </w:rPr>
              <w:t xml:space="preserve">Отсрочка по аренде </w:t>
            </w:r>
          </w:p>
        </w:tc>
        <w:tc>
          <w:tcPr>
            <w:tcW w:w="4336" w:type="dxa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t xml:space="preserve">Отсрочка платежей за арендуемые государственные и муниципальные помещения. </w:t>
            </w:r>
            <w:r>
              <w:rPr>
                <w:color w:val="2B2B2B"/>
                <w:highlight w:val="white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01143A" w:rsidRDefault="0001143A" w:rsidP="00DD20D0">
            <w:pPr>
              <w:spacing w:line="257" w:lineRule="auto"/>
              <w:jc w:val="both"/>
              <w:rPr>
                <w:b/>
              </w:rPr>
            </w:pPr>
            <w:r>
              <w:rPr>
                <w:color w:val="2B2B2B"/>
                <w:highlight w:val="white"/>
              </w:rPr>
              <w:t xml:space="preserve">Отсрочка не распространяется в отношении аренды коммерческой </w:t>
            </w:r>
            <w:r>
              <w:rPr>
                <w:color w:val="2B2B2B"/>
                <w:highlight w:val="white"/>
              </w:rPr>
              <w:lastRenderedPageBreak/>
              <w:t>недвижимости.</w:t>
            </w:r>
          </w:p>
        </w:tc>
        <w:tc>
          <w:tcPr>
            <w:tcW w:w="1588" w:type="dxa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lastRenderedPageBreak/>
              <w:t>До конца 2020 г.</w:t>
            </w:r>
          </w:p>
        </w:tc>
        <w:tc>
          <w:tcPr>
            <w:tcW w:w="2368" w:type="dxa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Арендаторы государственного и муниципального имущества</w:t>
            </w:r>
          </w:p>
        </w:tc>
      </w:tr>
      <w:tr w:rsidR="0001143A" w:rsidTr="00DD20D0">
        <w:tc>
          <w:tcPr>
            <w:tcW w:w="2045" w:type="dxa"/>
          </w:tcPr>
          <w:p w:rsidR="0001143A" w:rsidRDefault="0001143A" w:rsidP="00DD2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  <w:r>
              <w:rPr>
                <w:b/>
                <w:color w:val="2B2B2B"/>
                <w:highlight w:val="white"/>
              </w:rPr>
              <w:lastRenderedPageBreak/>
              <w:t>Кредитные каникулы</w:t>
            </w:r>
          </w:p>
        </w:tc>
        <w:tc>
          <w:tcPr>
            <w:tcW w:w="4336" w:type="dxa"/>
          </w:tcPr>
          <w:p w:rsidR="0001143A" w:rsidRDefault="0001143A" w:rsidP="00DD20D0">
            <w:pPr>
              <w:spacing w:line="257" w:lineRule="auto"/>
              <w:jc w:val="both"/>
              <w:rPr>
                <w:b/>
              </w:rPr>
            </w:pPr>
            <w:r>
              <w:rPr>
                <w:color w:val="2B2B2B"/>
                <w:highlight w:val="white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>
              <w:rPr>
                <w:color w:val="2B2B2B"/>
                <w:highlight w:val="white"/>
              </w:rPr>
              <w:t>коронавируса</w:t>
            </w:r>
            <w:proofErr w:type="spellEnd"/>
            <w:r>
              <w:rPr>
                <w:color w:val="2B2B2B"/>
                <w:highlight w:val="white"/>
              </w:rPr>
              <w:t xml:space="preserve"> </w:t>
            </w:r>
            <w:r>
              <w:rPr>
                <w:i/>
                <w:color w:val="2B2B2B"/>
                <w:highlight w:val="white"/>
              </w:rPr>
              <w:t>(ниже 30%)</w:t>
            </w:r>
            <w:r>
              <w:rPr>
                <w:color w:val="2B2B2B"/>
                <w:highlight w:val="white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588" w:type="dxa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На 6 месяцев</w:t>
            </w:r>
          </w:p>
        </w:tc>
        <w:tc>
          <w:tcPr>
            <w:tcW w:w="2368" w:type="dxa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>ИП</w:t>
            </w:r>
          </w:p>
        </w:tc>
      </w:tr>
      <w:tr w:rsidR="0001143A" w:rsidTr="00DD20D0">
        <w:trPr>
          <w:trHeight w:val="962"/>
        </w:trPr>
        <w:tc>
          <w:tcPr>
            <w:tcW w:w="2045" w:type="dxa"/>
          </w:tcPr>
          <w:p w:rsidR="0001143A" w:rsidRDefault="0001143A" w:rsidP="00DD20D0">
            <w:pPr>
              <w:rPr>
                <w:b/>
              </w:rPr>
            </w:pPr>
            <w:r>
              <w:rPr>
                <w:b/>
                <w:color w:val="2B2B2B"/>
                <w:highlight w:val="white"/>
              </w:rPr>
              <w:t xml:space="preserve">Снижение требований к обеспечению </w:t>
            </w:r>
            <w:proofErr w:type="spellStart"/>
            <w:r>
              <w:rPr>
                <w:b/>
                <w:color w:val="2B2B2B"/>
                <w:highlight w:val="white"/>
              </w:rPr>
              <w:t>госконтрактов</w:t>
            </w:r>
            <w:proofErr w:type="spellEnd"/>
          </w:p>
          <w:p w:rsidR="0001143A" w:rsidRDefault="0001143A" w:rsidP="00DD2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0"/>
              <w:rPr>
                <w:b/>
                <w:color w:val="000000"/>
              </w:rPr>
            </w:pPr>
          </w:p>
        </w:tc>
        <w:tc>
          <w:tcPr>
            <w:tcW w:w="4336" w:type="dxa"/>
          </w:tcPr>
          <w:p w:rsidR="0001143A" w:rsidRDefault="0001143A" w:rsidP="00DD20D0">
            <w:pPr>
              <w:spacing w:line="257" w:lineRule="auto"/>
              <w:jc w:val="both"/>
            </w:pPr>
            <w:r>
              <w:t>Правительством России предлагается установить, что при осуществлении закупок в соответствии со статьей 30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01143A" w:rsidRDefault="0001143A" w:rsidP="00DD20D0">
            <w:pPr>
              <w:spacing w:line="257" w:lineRule="auto"/>
              <w:jc w:val="both"/>
              <w:rPr>
                <w:b/>
              </w:rPr>
            </w:pPr>
            <w: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588" w:type="dxa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t>до 31 декабря 2020 года</w:t>
            </w:r>
          </w:p>
        </w:tc>
        <w:tc>
          <w:tcPr>
            <w:tcW w:w="2368" w:type="dxa"/>
          </w:tcPr>
          <w:p w:rsidR="0001143A" w:rsidRDefault="0001143A" w:rsidP="00DD20D0">
            <w:pPr>
              <w:spacing w:line="257" w:lineRule="auto"/>
              <w:jc w:val="both"/>
              <w:rPr>
                <w:color w:val="2B2B2B"/>
                <w:highlight w:val="white"/>
              </w:rPr>
            </w:pPr>
            <w:r>
              <w:rPr>
                <w:color w:val="2B2B2B"/>
                <w:highlight w:val="white"/>
              </w:rPr>
              <w:t xml:space="preserve">индивидуальные предприниматели, малый бизнес и </w:t>
            </w:r>
            <w:proofErr w:type="spellStart"/>
            <w:r>
              <w:rPr>
                <w:color w:val="2B2B2B"/>
                <w:highlight w:val="white"/>
              </w:rPr>
              <w:t>микропредприятия</w:t>
            </w:r>
            <w:proofErr w:type="spellEnd"/>
          </w:p>
        </w:tc>
      </w:tr>
    </w:tbl>
    <w:p w:rsidR="0001143A" w:rsidRDefault="0001143A" w:rsidP="0001143A"/>
    <w:p w:rsidR="0001143A" w:rsidRDefault="0001143A" w:rsidP="0001143A">
      <w:r>
        <w:rPr>
          <w:b/>
        </w:rPr>
        <w:t>Какие сферы признаны наиболее пострадавшими? </w:t>
      </w:r>
    </w:p>
    <w:p w:rsidR="0001143A" w:rsidRDefault="0001143A" w:rsidP="0001143A">
      <w:pPr>
        <w:numPr>
          <w:ilvl w:val="0"/>
          <w:numId w:val="1"/>
        </w:numPr>
      </w:pPr>
      <w:r>
        <w:t>авиаперевозки, аэропортовая деятельность, автоперевозки;</w:t>
      </w:r>
    </w:p>
    <w:p w:rsidR="0001143A" w:rsidRDefault="0001143A" w:rsidP="0001143A">
      <w:pPr>
        <w:numPr>
          <w:ilvl w:val="0"/>
          <w:numId w:val="1"/>
        </w:numPr>
      </w:pPr>
      <w:r>
        <w:t>культура, организация досуга и развлечений;</w:t>
      </w:r>
    </w:p>
    <w:p w:rsidR="0001143A" w:rsidRDefault="0001143A" w:rsidP="0001143A">
      <w:pPr>
        <w:numPr>
          <w:ilvl w:val="0"/>
          <w:numId w:val="1"/>
        </w:numPr>
      </w:pPr>
      <w:r>
        <w:t>физкультурно-оздоровительная деятельность и спорт;</w:t>
      </w:r>
    </w:p>
    <w:p w:rsidR="0001143A" w:rsidRDefault="0001143A" w:rsidP="0001143A">
      <w:pPr>
        <w:numPr>
          <w:ilvl w:val="0"/>
          <w:numId w:val="1"/>
        </w:numPr>
      </w:pPr>
      <w:r>
        <w:t>деятельность туристических агентств и прочих организаций, предоставляющих услуги в сфере туризма;</w:t>
      </w:r>
    </w:p>
    <w:p w:rsidR="0001143A" w:rsidRDefault="0001143A" w:rsidP="0001143A">
      <w:pPr>
        <w:numPr>
          <w:ilvl w:val="0"/>
          <w:numId w:val="1"/>
        </w:numPr>
      </w:pPr>
      <w:r>
        <w:t>гостиничный бизнес;</w:t>
      </w:r>
    </w:p>
    <w:p w:rsidR="0001143A" w:rsidRDefault="0001143A" w:rsidP="0001143A">
      <w:pPr>
        <w:numPr>
          <w:ilvl w:val="0"/>
          <w:numId w:val="1"/>
        </w:numPr>
      </w:pPr>
      <w:r>
        <w:t>деятельность организаций дополнительного образования, негосударственных образовательных учреждений;</w:t>
      </w:r>
    </w:p>
    <w:p w:rsidR="0001143A" w:rsidRDefault="0001143A" w:rsidP="0001143A">
      <w:pPr>
        <w:numPr>
          <w:ilvl w:val="0"/>
          <w:numId w:val="1"/>
        </w:numPr>
      </w:pPr>
      <w:r>
        <w:t>деятельность по организации конференций и выставок;</w:t>
      </w:r>
    </w:p>
    <w:p w:rsidR="0001143A" w:rsidRDefault="0001143A" w:rsidP="0001143A">
      <w:pPr>
        <w:numPr>
          <w:ilvl w:val="0"/>
          <w:numId w:val="1"/>
        </w:numPr>
      </w:pPr>
      <w:r>
        <w:t>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01143A" w:rsidRDefault="0001143A" w:rsidP="0001143A"/>
    <w:p w:rsidR="0001143A" w:rsidRDefault="0001143A" w:rsidP="0001143A">
      <w:r>
        <w:t>Организации и индивидуальные предприниматели, занятые в этих сферах по основному виду деятельности согласно ОКВЭД (https://www.nalog.ru/rn77/business-support-2020/9704514/), получат первоочередную адресную поддержку.</w:t>
      </w:r>
    </w:p>
    <w:p w:rsidR="0001143A" w:rsidRDefault="0001143A" w:rsidP="0001143A"/>
    <w:p w:rsidR="0001143A" w:rsidRDefault="0001143A" w:rsidP="0001143A"/>
    <w:p w:rsidR="00546089" w:rsidRDefault="00546089"/>
    <w:sectPr w:rsidR="00546089" w:rsidSect="00072EA1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03A79"/>
    <w:multiLevelType w:val="multilevel"/>
    <w:tmpl w:val="FCA25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143A"/>
    <w:rsid w:val="0001143A"/>
    <w:rsid w:val="003158E0"/>
    <w:rsid w:val="00376070"/>
    <w:rsid w:val="00546089"/>
    <w:rsid w:val="00D6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1685</Words>
  <Characters>9608</Characters>
  <Application>Microsoft Office Word</Application>
  <DocSecurity>0</DocSecurity>
  <Lines>80</Lines>
  <Paragraphs>22</Paragraphs>
  <ScaleCrop>false</ScaleCrop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2020-04-06T09:30:00Z</dcterms:created>
  <dcterms:modified xsi:type="dcterms:W3CDTF">2020-04-06T09:30:00Z</dcterms:modified>
</cp:coreProperties>
</file>